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tribunal-judicial-de-lisboa"/>
    <w:p>
      <w:pPr>
        <w:pStyle w:val="Heading2"/>
      </w:pPr>
      <w:r>
        <w:t xml:space="preserve">Tribunal Judicial de Lisboa</w:t>
      </w:r>
    </w:p>
    <w:p>
      <w:pPr>
        <w:pStyle w:val="FirstParagraph"/>
      </w:pPr>
      <w:r>
        <w:rPr>
          <w:b/>
          <w:bCs/>
        </w:rPr>
        <w:t xml:space="preserve">Juízo de Instrução Criminal n.º 4</w:t>
      </w:r>
    </w:p>
    <w:p>
      <w:pPr>
        <w:pStyle w:val="BodyText"/>
      </w:pPr>
      <w:r>
        <w:rPr>
          <w:b/>
          <w:bCs/>
        </w:rPr>
        <w:t xml:space="preserve">Processo Penal n.º 2023/0456</w:t>
      </w:r>
      <w:r>
        <w:t xml:space="preserve"> </w:t>
      </w:r>
      <w:r>
        <w:t xml:space="preserve">– Burla Informática por Phishing – Transferências Fraudulentas de €32 000</w:t>
      </w:r>
    </w:p>
    <w:p>
      <w:pPr>
        <w:pStyle w:val="BodyText"/>
      </w:pPr>
      <w:r>
        <w:rPr>
          <w:b/>
          <w:bCs/>
        </w:rPr>
        <w:t xml:space="preserve">Ministério Público</w:t>
      </w:r>
      <w:r>
        <w:t xml:space="preserve">, Autor, representado pela Procuradora</w:t>
      </w:r>
      <w:r>
        <w:t xml:space="preserve"> </w:t>
      </w:r>
      <w:r>
        <w:rPr>
          <w:b/>
          <w:bCs/>
        </w:rPr>
        <w:t xml:space="preserve">Marta Santos</w:t>
      </w:r>
      <w:r>
        <w:t xml:space="preserve"> </w:t>
      </w:r>
      <w:r>
        <w:t xml:space="preserve">(OA 54321), contra</w:t>
      </w:r>
      <w:r>
        <w:t xml:space="preserve"> </w:t>
      </w:r>
      <w:r>
        <w:rPr>
          <w:b/>
          <w:bCs/>
        </w:rPr>
        <w:t xml:space="preserve">João da Silva</w:t>
      </w:r>
      <w:r>
        <w:t xml:space="preserve">, Réu, residente em Rua da Boavista, 45, 1200‑115 Lisboa, contribuinte NIF 123 456 789, assistido pelos Advogados</w:t>
      </w:r>
      <w:r>
        <w:t xml:space="preserve"> </w:t>
      </w:r>
      <w:r>
        <w:rPr>
          <w:b/>
          <w:bCs/>
        </w:rPr>
        <w:t xml:space="preserve">Ana Pereira</w:t>
      </w:r>
      <w:r>
        <w:t xml:space="preserve"> </w:t>
      </w:r>
      <w:r>
        <w:t xml:space="preserve">(OA 12345) e</w:t>
      </w:r>
      <w:r>
        <w:t xml:space="preserve"> </w:t>
      </w:r>
      <w:r>
        <w:rPr>
          <w:b/>
          <w:bCs/>
        </w:rPr>
        <w:t xml:space="preserve">Luís Carvalho</w:t>
      </w:r>
      <w:r>
        <w:t xml:space="preserve"> </w:t>
      </w:r>
      <w:r>
        <w:t xml:space="preserve">(OA 67890).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bookmarkStart w:id="19" w:name="X1088732702c0f02ab97588687c325c1761cd458"/>
    <w:p>
      <w:pPr>
        <w:pStyle w:val="Heading3"/>
      </w:pPr>
      <w:r>
        <w:rPr>
          <w:b/>
          <w:bCs/>
        </w:rPr>
        <w:t xml:space="preserve">CONTESTAÇÃO AO RECURSO INTERPOSTO PELA DEFESA</w:t>
      </w:r>
    </w:p>
    <w:bookmarkStart w:id="9" w:name="i.-introdução"/>
    <w:p>
      <w:pPr>
        <w:pStyle w:val="Heading4"/>
      </w:pPr>
      <w:r>
        <w:t xml:space="preserve">I. Introdução</w:t>
      </w:r>
    </w:p>
    <w:p>
      <w:pPr>
        <w:numPr>
          <w:ilvl w:val="0"/>
          <w:numId w:val="1001"/>
        </w:numPr>
      </w:pPr>
      <w:r>
        <w:t xml:space="preserve">O Ministério Público, nos autos do processo supra‑referido, vem, respeitosamente, à presença de V. Exa., apresentar</w:t>
      </w:r>
      <w:r>
        <w:t xml:space="preserve"> </w:t>
      </w:r>
      <w:r>
        <w:rPr>
          <w:b/>
          <w:bCs/>
        </w:rPr>
        <w:t xml:space="preserve">contestação ao recurso</w:t>
      </w:r>
      <w:r>
        <w:t xml:space="preserve"> </w:t>
      </w:r>
      <w:r>
        <w:t xml:space="preserve">interposto pelos defensores do réu,</w:t>
      </w:r>
      <w:r>
        <w:t xml:space="preserve"> </w:t>
      </w:r>
      <w:r>
        <w:rPr>
          <w:b/>
          <w:bCs/>
        </w:rPr>
        <w:t xml:space="preserve">Dr.ª Ana Pereira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Dr. Luís Carvalho</w:t>
      </w:r>
      <w:r>
        <w:t xml:space="preserve">, datado de 1 de fevereiro de 2026, nos termos do artigo 563.º do Código de Processo Civil, com fundamento nos factos e no direito que se seguem.</w:t>
      </w:r>
    </w:p>
    <w:p>
      <w:pPr>
        <w:numPr>
          <w:ilvl w:val="0"/>
          <w:numId w:val="1001"/>
        </w:numPr>
      </w:pPr>
      <w:r>
        <w:t xml:space="preserve">O recurso tem por objetivo impugnar a decisão de</w:t>
      </w:r>
      <w:r>
        <w:t xml:space="preserve"> </w:t>
      </w:r>
      <w:r>
        <w:rPr>
          <w:b/>
          <w:bCs/>
        </w:rPr>
        <w:t xml:space="preserve">fls. 78/82</w:t>
      </w:r>
      <w:r>
        <w:t xml:space="preserve">, que considerou válidas as provas eletrónicas produzidas durante a fase de instrução, bem como a decisão de</w:t>
      </w:r>
      <w:r>
        <w:t xml:space="preserve"> </w:t>
      </w:r>
      <w:r>
        <w:rPr>
          <w:b/>
          <w:bCs/>
        </w:rPr>
        <w:t xml:space="preserve">fls. 95</w:t>
      </w:r>
      <w:r>
        <w:t xml:space="preserve">, que indeferiu o pedido de exclusão da prova pericial de análise de registo de IP.</w:t>
      </w:r>
    </w:p>
    <w:bookmarkEnd w:id="9"/>
    <w:bookmarkStart w:id="10" w:name="ii.-síntese-dos-argumentos-da-defesa"/>
    <w:p>
      <w:pPr>
        <w:pStyle w:val="Heading4"/>
      </w:pPr>
      <w:r>
        <w:t xml:space="preserve">II. Síntese dos Argumentos da Defesa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84"/>
        <w:gridCol w:w="3555"/>
        <w:gridCol w:w="3879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Argumento da Defesa</w:t>
            </w:r>
          </w:p>
        </w:tc>
        <w:tc>
          <w:tcPr/>
          <w:p>
            <w:pPr>
              <w:pStyle w:val="Compact"/>
            </w:pPr>
            <w:r>
              <w:t xml:space="preserve">Fundamentação Invocada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Alegação de</w:t>
            </w:r>
            <w:r>
              <w:t xml:space="preserve"> </w:t>
            </w:r>
            <w:r>
              <w:rPr>
                <w:b/>
                <w:bCs/>
              </w:rPr>
              <w:t xml:space="preserve">violação do princípio do contraditório</w:t>
            </w:r>
            <w:r>
              <w:t xml:space="preserve"> </w:t>
            </w:r>
            <w:r>
              <w:t xml:space="preserve">ao ter sido determinada a produção de dados de acesso ao correio eletrónico do réu sem prévia comunicação.</w:t>
            </w:r>
          </w:p>
        </w:tc>
        <w:tc>
          <w:tcPr/>
          <w:p>
            <w:pPr>
              <w:pStyle w:val="Compact"/>
            </w:pPr>
            <w:r>
              <w:t xml:space="preserve">Art. 20.º, n.º 1, da Constituição da República Portuguesa; art. 138.º, CPC.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Nulidade da peritagem informática</w:t>
            </w:r>
            <w:r>
              <w:t xml:space="preserve"> </w:t>
            </w:r>
            <w:r>
              <w:t xml:space="preserve">por suposta falta de imparcialidade do perito nomeado, o Sr. Carlos Mendes, por ser colaborador da entidade bancária envolvida.</w:t>
            </w:r>
          </w:p>
        </w:tc>
        <w:tc>
          <w:tcPr/>
          <w:p>
            <w:pPr>
              <w:pStyle w:val="Compact"/>
            </w:pPr>
            <w:r>
              <w:t xml:space="preserve">Art. 219.º, CPC.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Inexistência de dolo</w:t>
            </w:r>
            <w:r>
              <w:t xml:space="preserve">: o réu teria sido vítima de um ataque externo e não teria conhecimento das transferências.</w:t>
            </w:r>
          </w:p>
        </w:tc>
        <w:tc>
          <w:tcPr/>
          <w:p>
            <w:pPr>
              <w:pStyle w:val="Compact"/>
            </w:pPr>
            <w:r>
              <w:t xml:space="preserve">Art. 217.º, n.º 1, CP – dolo direto.</w:t>
            </w:r>
          </w:p>
        </w:tc>
      </w:tr>
    </w:tbl>
    <w:bookmarkEnd w:id="10"/>
    <w:bookmarkStart w:id="15" w:name="X7f8c64a300c8c575d067543c78826cb42bc4621"/>
    <w:p>
      <w:pPr>
        <w:pStyle w:val="Heading4"/>
      </w:pPr>
      <w:r>
        <w:t xml:space="preserve">III. Fundamentação Jurídica da Contestação</w:t>
      </w:r>
    </w:p>
    <w:bookmarkStart w:id="11" w:name="X53c18d771b735925dda6312304ff51869dfbd01"/>
    <w:p>
      <w:pPr>
        <w:pStyle w:val="Heading5"/>
      </w:pPr>
      <w:r>
        <w:t xml:space="preserve">1. Da validade da produção de prova eletrónica</w:t>
      </w:r>
    </w:p>
    <w:p>
      <w:pPr>
        <w:numPr>
          <w:ilvl w:val="0"/>
          <w:numId w:val="1002"/>
        </w:numPr>
      </w:pPr>
      <w:r>
        <w:t xml:space="preserve">A decisão de</w:t>
      </w:r>
      <w:r>
        <w:t xml:space="preserve"> </w:t>
      </w:r>
      <w:r>
        <w:rPr>
          <w:b/>
          <w:bCs/>
        </w:rPr>
        <w:t xml:space="preserve">fls. 78</w:t>
      </w:r>
      <w:r>
        <w:t xml:space="preserve"> </w:t>
      </w:r>
      <w:r>
        <w:t xml:space="preserve">está plenamente em consonância com o artigo 138.º, n.º 2, do CPC, que autoriza a prática de diligências de natureza eletrónica quando necessárias à descoberta da verdade material.</w:t>
      </w:r>
    </w:p>
    <w:p>
      <w:pPr>
        <w:numPr>
          <w:ilvl w:val="0"/>
          <w:numId w:val="1002"/>
        </w:numPr>
      </w:pPr>
      <w:r>
        <w:t xml:space="preserve">O Ministério Público notificou, com antecedência de cinco dias úteis, a parte ré e os seus mandatários, por correio certificado e por email, acerca da requisição dos registos de acesso ao endereço eletrónico</w:t>
      </w:r>
      <w:r>
        <w:t xml:space="preserve"> </w:t>
      </w:r>
      <w:r>
        <w:rPr>
          <w:b/>
          <w:bCs/>
        </w:rPr>
        <w:t xml:space="preserve">joaosilva@email.com</w:t>
      </w:r>
      <w:r>
        <w:t xml:space="preserve">, cumprindo, assim, o princípio do contraditório (art. 20.º, n.º 1, CRP).</w:t>
      </w:r>
    </w:p>
    <w:p>
      <w:pPr>
        <w:numPr>
          <w:ilvl w:val="0"/>
          <w:numId w:val="1002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Lei n.º 12/2005, de 26 de janeiro</w:t>
      </w:r>
      <w:r>
        <w:t xml:space="preserve">, sobre a proteção de dados pessoais, autoriza a coleta de informações para fins de investigação criminal, desde que observados os requisitos de proporcionalidade e necessidade, requisitos estes plenamente satisfeitos no presente caso.</w:t>
      </w:r>
    </w:p>
    <w:bookmarkEnd w:id="11"/>
    <w:bookmarkStart w:id="12" w:name="da-regularidade-da-peritagem-informática"/>
    <w:p>
      <w:pPr>
        <w:pStyle w:val="Heading5"/>
      </w:pPr>
      <w:r>
        <w:t xml:space="preserve">2. Da regularidade da peritagem informática</w:t>
      </w:r>
    </w:p>
    <w:p>
      <w:pPr>
        <w:numPr>
          <w:ilvl w:val="0"/>
          <w:numId w:val="1003"/>
        </w:numPr>
      </w:pPr>
      <w:r>
        <w:t xml:space="preserve">O perito</w:t>
      </w:r>
      <w:r>
        <w:t xml:space="preserve"> </w:t>
      </w:r>
      <w:r>
        <w:rPr>
          <w:b/>
          <w:bCs/>
        </w:rPr>
        <w:t xml:space="preserve">Carlos Mendes</w:t>
      </w:r>
      <w:r>
        <w:t xml:space="preserve">, nomeado pelo Juiz de Instrução, possui a qualificação de</w:t>
      </w:r>
      <w:r>
        <w:t xml:space="preserve"> </w:t>
      </w:r>
      <w:r>
        <w:rPr>
          <w:b/>
          <w:bCs/>
        </w:rPr>
        <w:t xml:space="preserve">Especialista em Segurança da Informação</w:t>
      </w:r>
      <w:r>
        <w:t xml:space="preserve">, com inscrição no Conselho Nacional de Peritos (n.º CNP 2023‑07). Não há qualquer relação laboral ou contratual com a instituição bancária</w:t>
      </w:r>
      <w:r>
        <w:t xml:space="preserve"> </w:t>
      </w:r>
      <w:r>
        <w:rPr>
          <w:b/>
          <w:bCs/>
        </w:rPr>
        <w:t xml:space="preserve">Banco Atlântico</w:t>
      </w:r>
      <w:r>
        <w:t xml:space="preserve">, cuja conta foi utilizada nas transferências fraudulentas.</w:t>
      </w:r>
    </w:p>
    <w:p>
      <w:pPr>
        <w:numPr>
          <w:ilvl w:val="0"/>
          <w:numId w:val="1003"/>
        </w:numPr>
      </w:pPr>
      <w:r>
        <w:t xml:space="preserve">O perito declarou, em sua</w:t>
      </w:r>
      <w:r>
        <w:t xml:space="preserve"> </w:t>
      </w:r>
      <w:r>
        <w:rPr>
          <w:b/>
          <w:bCs/>
        </w:rPr>
        <w:t xml:space="preserve">declaração de independência</w:t>
      </w:r>
      <w:r>
        <w:t xml:space="preserve"> </w:t>
      </w:r>
      <w:r>
        <w:t xml:space="preserve">(fls. 101/102), que a sua atuação se pautou estritamente pelos princípios de objetividade e imparcialidade, nos termos do artigo 219.º, n.º 1, do CPC.</w:t>
      </w:r>
    </w:p>
    <w:p>
      <w:pPr>
        <w:numPr>
          <w:ilvl w:val="0"/>
          <w:numId w:val="1003"/>
        </w:numPr>
      </w:pPr>
      <w:r>
        <w:t xml:space="preserve">A alegação de parcialidade carece de prova concreta; o simples fato de o perito possuir experiência no domínio bancário não constitui, por si só, motivo de nulidade da prova pericial (jurisprudência do Supremo Tribunal de Justiça – Acórdão n.º 112/21.2T8LAV, de 12 de outubro de 2021).</w:t>
      </w:r>
    </w:p>
    <w:bookmarkEnd w:id="12"/>
    <w:bookmarkStart w:id="13" w:name="Xa6972b95f685f5eb381c3518a548cc3f3a01b85"/>
    <w:p>
      <w:pPr>
        <w:pStyle w:val="Heading5"/>
      </w:pPr>
      <w:r>
        <w:t xml:space="preserve">3. Do dolo direto e da responsabilidade penal do réu</w:t>
      </w:r>
    </w:p>
    <w:p>
      <w:pPr>
        <w:numPr>
          <w:ilvl w:val="0"/>
          <w:numId w:val="1004"/>
        </w:numPr>
      </w:pPr>
      <w:r>
        <w:t xml:space="preserve">O artigo 217.º, n.º 1, alínea a) do Código Penal tipifica a burla informática como crime quando o agente,</w:t>
      </w:r>
      <w:r>
        <w:t xml:space="preserve"> </w:t>
      </w:r>
      <w:r>
        <w:rPr>
          <w:b/>
          <w:bCs/>
        </w:rPr>
        <w:t xml:space="preserve">consciente da ilicitude</w:t>
      </w:r>
      <w:r>
        <w:t xml:space="preserve">, induz a vítima a erro, provocando a transferência de bens.</w:t>
      </w:r>
    </w:p>
    <w:p>
      <w:pPr>
        <w:numPr>
          <w:ilvl w:val="0"/>
          <w:numId w:val="1004"/>
        </w:numPr>
      </w:pPr>
      <w:r>
        <w:t xml:space="preserve">As mensagens de phishing enviadas ao réu foram elaboradas com</w:t>
      </w:r>
      <w:r>
        <w:t xml:space="preserve"> </w:t>
      </w:r>
      <w:r>
        <w:rPr>
          <w:b/>
          <w:bCs/>
        </w:rPr>
        <w:t xml:space="preserve">conteúdo idêntico ao da comunicação oficial do Banco Atlântico</w:t>
      </w:r>
      <w:r>
        <w:t xml:space="preserve">, inclusive com uso de logótipos e assinatura digital falsificada. O réu recebeu, em</w:t>
      </w:r>
      <w:r>
        <w:t xml:space="preserve"> </w:t>
      </w:r>
      <w:r>
        <w:rPr>
          <w:b/>
          <w:bCs/>
        </w:rPr>
        <w:t xml:space="preserve">10, 15 e 20 de março de 2023</w:t>
      </w:r>
      <w:r>
        <w:t xml:space="preserve">, emails que lhe solicitavam a validação de uma “actualização de segurança”, contendo um link que redirecionava para um sítio web controlado pelos autores da fraude.</w:t>
      </w:r>
    </w:p>
    <w:p>
      <w:pPr>
        <w:numPr>
          <w:ilvl w:val="0"/>
          <w:numId w:val="1004"/>
        </w:numPr>
      </w:pPr>
      <w:r>
        <w:t xml:space="preserve">O réu, ao clicar no link, introduziu as credenciais bancárias pessoais, permitindo a efetivação das transferências de €12 000, €8 000 e €12 000, respectivamente, para contas controladas pelos autores.</w:t>
      </w:r>
    </w:p>
    <w:p>
      <w:pPr>
        <w:numPr>
          <w:ilvl w:val="0"/>
          <w:numId w:val="1004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peritagem informática</w:t>
      </w:r>
      <w:r>
        <w:t xml:space="preserve"> </w:t>
      </w:r>
      <w:r>
        <w:t xml:space="preserve">(fls. 110/115) demonstrou, mediante análise de cabeçalhos de email, endereços IP e registos de servidor, que os emails foram enviados a partir de servidores localizados em</w:t>
      </w:r>
      <w:r>
        <w:t xml:space="preserve"> </w:t>
      </w:r>
      <w:r>
        <w:rPr>
          <w:b/>
          <w:bCs/>
        </w:rPr>
        <w:t xml:space="preserve">Rússia</w:t>
      </w:r>
      <w:r>
        <w:t xml:space="preserve">, sem qualquer relação com o endereço de IP habitual do réu.</w:t>
      </w:r>
    </w:p>
    <w:p>
      <w:pPr>
        <w:numPr>
          <w:ilvl w:val="0"/>
          <w:numId w:val="1004"/>
        </w:numPr>
      </w:pPr>
      <w:r>
        <w:t xml:space="preserve">Assim, o réu</w:t>
      </w:r>
      <w:r>
        <w:t xml:space="preserve"> </w:t>
      </w:r>
      <w:r>
        <w:rPr>
          <w:b/>
          <w:bCs/>
        </w:rPr>
        <w:t xml:space="preserve">não pode alegar desconhecimento</w:t>
      </w:r>
      <w:r>
        <w:t xml:space="preserve"> </w:t>
      </w:r>
      <w:r>
        <w:t xml:space="preserve">das transferências, pois, ao inserir as credenciais, autorizou, de forma consciente, a movimentação de valores. O dolo direto está comprovado pelos elementos de prova eletrónica e pericial.</w:t>
      </w:r>
    </w:p>
    <w:bookmarkEnd w:id="13"/>
    <w:bookmarkStart w:id="14" w:name="da-inexistência-de-nulidade-processual"/>
    <w:p>
      <w:pPr>
        <w:pStyle w:val="Heading5"/>
      </w:pPr>
      <w:r>
        <w:t xml:space="preserve">4. Da inexistência de nulidade processual</w:t>
      </w:r>
    </w:p>
    <w:p>
      <w:pPr>
        <w:numPr>
          <w:ilvl w:val="0"/>
          <w:numId w:val="1005"/>
        </w:numPr>
      </w:pPr>
      <w:r>
        <w:t xml:space="preserve">Não se verifica, em nenhum dos autos, violação dos direitos de defesa nem do contraditório que justifique a nulidade das provas. Pelo contrário, o Ministério Público assegurou a ampla defesa, concedendo prazo para impugnação dos documentos e permitindo a produção de prova contrária.</w:t>
      </w:r>
    </w:p>
    <w:p>
      <w:pPr>
        <w:numPr>
          <w:ilvl w:val="0"/>
          <w:numId w:val="1005"/>
        </w:numPr>
      </w:pPr>
      <w:r>
        <w:t xml:space="preserve">O recurso interposto não demonstra, de forma concreta, qualquer prejuízo efetivo ao réu, limitando‑se a alegações genéricas e a interpretação equivocada da legislação aplicável.</w:t>
      </w:r>
    </w:p>
    <w:bookmarkEnd w:id="14"/>
    <w:bookmarkEnd w:id="15"/>
    <w:bookmarkStart w:id="16" w:name="iv.-pedido"/>
    <w:p>
      <w:pPr>
        <w:pStyle w:val="Heading4"/>
      </w:pPr>
      <w:r>
        <w:t xml:space="preserve">IV. Pedido</w:t>
      </w:r>
    </w:p>
    <w:p>
      <w:pPr>
        <w:pStyle w:val="FirstParagraph"/>
      </w:pPr>
      <w:r>
        <w:t xml:space="preserve">Em face do exposto, o Ministério Público requer a V. Exa.: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Rejeitar integralmente o recurso</w:t>
      </w:r>
      <w:r>
        <w:t xml:space="preserve"> </w:t>
      </w:r>
      <w:r>
        <w:t xml:space="preserve">interposto pela defesa, nos termos do artigo 563.º, n.º 1, alínea a), do CPC;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Confirmar a validade</w:t>
      </w:r>
      <w:r>
        <w:t xml:space="preserve"> </w:t>
      </w:r>
      <w:r>
        <w:t xml:space="preserve">das provas eletrónicas produzidas (registos de acesso ao correio eletrónico, logs de servidor e capturas de tela) e da peritagem informática, reconhecendo a sua força probatória plena;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Manter a decisão de fls. 95</w:t>
      </w:r>
      <w:r>
        <w:t xml:space="preserve">, que indeferiu o pedido de exclusão da prova pericial, por inexistir motivo de nulidade;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Prosseguir para a fase de julgamento</w:t>
      </w:r>
      <w:r>
        <w:t xml:space="preserve">, com a designação de data para audiência de julgamento, nos termos do artigo 531.º, CPC;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Condenar o réu João da Silva</w:t>
      </w:r>
      <w:r>
        <w:t xml:space="preserve"> </w:t>
      </w:r>
      <w:r>
        <w:t xml:space="preserve">à pena prevista no artigo 217.º, n.º 1, alínea a) do Código Penal, bem como à restituição integral do montante indevidamente transferido, acrescido de juros de mora, nos termos do artigo 81.º, n.º 2, do CP.</w:t>
      </w:r>
    </w:p>
    <w:bookmarkEnd w:id="16"/>
    <w:bookmarkStart w:id="17" w:name="v.-protesta-por-provas"/>
    <w:p>
      <w:pPr>
        <w:pStyle w:val="Heading4"/>
      </w:pPr>
      <w:r>
        <w:t xml:space="preserve">V. Protesta por Provas</w:t>
      </w:r>
    </w:p>
    <w:p>
      <w:pPr>
        <w:pStyle w:val="FirstParagraph"/>
      </w:pPr>
      <w:r>
        <w:t xml:space="preserve">O Ministério Público protesta por todos os meios de prova admitidos em direito, nomeadamente: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80"/>
        <w:gridCol w:w="48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Prova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</w:t>
            </w:r>
          </w:p>
        </w:tc>
        <w:tc>
          <w:tcPr/>
          <w:p>
            <w:pPr>
              <w:pStyle w:val="Compact"/>
            </w:pPr>
            <w:r>
              <w:t xml:space="preserve">Cópia certificada dos emails de phishing (fls. 45/48).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</w:t>
            </w:r>
          </w:p>
        </w:tc>
        <w:tc>
          <w:tcPr/>
          <w:p>
            <w:pPr>
              <w:pStyle w:val="Compact"/>
            </w:pPr>
            <w:r>
              <w:t xml:space="preserve">Relatório pericial de análise de registo de IP (fls. 110/115).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</w:t>
            </w:r>
          </w:p>
        </w:tc>
        <w:tc>
          <w:tcPr/>
          <w:p>
            <w:pPr>
              <w:pStyle w:val="Compact"/>
            </w:pPr>
            <w:r>
              <w:t xml:space="preserve">Extractos bancários das contas do réu e das contas destinatárias (fls. 52/57).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</w:t>
            </w:r>
          </w:p>
        </w:tc>
        <w:tc>
          <w:tcPr/>
          <w:p>
            <w:pPr>
              <w:pStyle w:val="Compact"/>
            </w:pPr>
            <w:r>
              <w:t xml:space="preserve">Depoimento do perito informático (fls. 120/122).</w:t>
            </w:r>
          </w:p>
        </w:tc>
      </w:tr>
    </w:tbl>
    <w:bookmarkEnd w:id="17"/>
    <w:bookmarkStart w:id="18" w:name="vi.-conclusão"/>
    <w:p>
      <w:pPr>
        <w:pStyle w:val="Heading4"/>
      </w:pPr>
      <w:r>
        <w:t xml:space="preserve">VI. Conclusão</w:t>
      </w:r>
    </w:p>
    <w:p>
      <w:pPr>
        <w:pStyle w:val="FirstParagraph"/>
      </w:pPr>
      <w:r>
        <w:t xml:space="preserve">Pelo exposto, o Ministério Público requer a rejeição do recurso da defesa e a manutenção de todas as decisões que reconhecem a validade das provas, por estarem em plena conformidade com a Constituição da República Portuguesa, o Código de Processo Civil e o Código Penal.</w:t>
      </w:r>
    </w:p>
    <w:p>
      <w:pPr>
        <w:pStyle w:val="BodyText"/>
      </w:pPr>
      <w:r>
        <w:t xml:space="preserve">Lisboa, 15 de fevereiro de 2026</w:t>
      </w:r>
    </w:p>
    <w:p>
      <w:pPr>
        <w:pStyle w:val="BodyText"/>
      </w:pPr>
      <w:r>
        <w:rPr>
          <w:b/>
          <w:bCs/>
        </w:rPr>
        <w:t xml:space="preserve">Ministério Público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Dr. Marta Santos – Procuradora (OA 54321)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Cópia:</w:t>
      </w:r>
      <w:r>
        <w:br/>
      </w:r>
      <w:r>
        <w:t xml:space="preserve">- Advogados da defesa (Dr.ª Ana Pereira – OA 12345; Dr. Luís Carvalho – OA 67890)</w:t>
      </w:r>
      <w:r>
        <w:br/>
      </w:r>
      <w:r>
        <w:t xml:space="preserve">- Arquivo do Juízo</w:t>
      </w:r>
      <w:r>
        <w:br/>
      </w:r>
      <w:r>
        <w:t xml:space="preserve">- Secretaria do Tribunal Judicial de Lisboa</w:t>
      </w:r>
    </w:p>
    <w:bookmarkEnd w:id="18"/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3">
    <w:nsid w:val="00A99413"/>
    <w:multiLevelType w:val="multilevel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abstractNum w:abstractNumId="99416">
    <w:nsid w:val="00A99416"/>
    <w:multiLevelType w:val="multilevel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2."/>
      <w:lvlJc w:val="left"/>
      <w:pPr>
        <w:ind w:left="1440" w:hanging="360"/>
      </w:pPr>
    </w:lvl>
    <w:lvl w:ilvl="2">
      <w:start w:val="6"/>
      <w:numFmt w:val="decimal"/>
      <w:lvlText w:val="%3."/>
      <w:lvlJc w:val="left"/>
      <w:pPr>
        <w:ind w:left="2160" w:hanging="360"/>
      </w:pPr>
    </w:lvl>
    <w:lvl w:ilvl="3">
      <w:start w:val="6"/>
      <w:numFmt w:val="decimal"/>
      <w:lvlText w:val="%4."/>
      <w:lvlJc w:val="left"/>
      <w:pPr>
        <w:ind w:left="2880" w:hanging="360"/>
      </w:pPr>
    </w:lvl>
    <w:lvl w:ilvl="4">
      <w:start w:val="6"/>
      <w:numFmt w:val="decimal"/>
      <w:lvlText w:val="%5."/>
      <w:lvlJc w:val="left"/>
      <w:pPr>
        <w:ind w:left="3600" w:hanging="360"/>
      </w:pPr>
    </w:lvl>
    <w:lvl w:ilvl="5">
      <w:start w:val="6"/>
      <w:numFmt w:val="decimal"/>
      <w:lvlText w:val="%6."/>
      <w:lvlJc w:val="left"/>
      <w:pPr>
        <w:ind w:left="4320" w:hanging="360"/>
      </w:pPr>
    </w:lvl>
    <w:lvl w:ilvl="6">
      <w:start w:val="6"/>
      <w:numFmt w:val="decimal"/>
      <w:lvlText w:val="%7."/>
      <w:lvlJc w:val="left"/>
      <w:pPr>
        <w:ind w:left="5040" w:hanging="360"/>
      </w:pPr>
    </w:lvl>
    <w:lvl w:ilvl="7">
      <w:start w:val="6"/>
      <w:numFmt w:val="decimal"/>
      <w:lvlText w:val="%8."/>
      <w:lvlJc w:val="left"/>
      <w:pPr>
        <w:ind w:left="5760" w:hanging="360"/>
      </w:pPr>
    </w:lvl>
    <w:lvl w:ilvl="8">
      <w:start w:val="6"/>
      <w:numFmt w:val="decimal"/>
      <w:lvlText w:val="%9."/>
      <w:lvlJc w:val="left"/>
      <w:pPr>
        <w:ind w:left="6480" w:hanging="360"/>
      </w:pPr>
    </w:lvl>
  </w:abstractNum>
  <w:abstractNum w:abstractNumId="99419">
    <w:nsid w:val="00A99419"/>
    <w:multiLevelType w:val="multilevel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</w:lvl>
    <w:lvl w:ilvl="2">
      <w:start w:val="9"/>
      <w:numFmt w:val="decimal"/>
      <w:lvlText w:val="%3."/>
      <w:lvlJc w:val="left"/>
      <w:pPr>
        <w:ind w:left="2160" w:hanging="360"/>
      </w:pPr>
    </w:lvl>
    <w:lvl w:ilvl="3">
      <w:start w:val="9"/>
      <w:numFmt w:val="decimal"/>
      <w:lvlText w:val="%4."/>
      <w:lvlJc w:val="left"/>
      <w:pPr>
        <w:ind w:left="2880" w:hanging="360"/>
      </w:pPr>
    </w:lvl>
    <w:lvl w:ilvl="4">
      <w:start w:val="9"/>
      <w:numFmt w:val="decimal"/>
      <w:lvlText w:val="%5."/>
      <w:lvlJc w:val="left"/>
      <w:pPr>
        <w:ind w:left="3600" w:hanging="360"/>
      </w:pPr>
    </w:lvl>
    <w:lvl w:ilvl="5">
      <w:start w:val="9"/>
      <w:numFmt w:val="decimal"/>
      <w:lvlText w:val="%6."/>
      <w:lvlJc w:val="left"/>
      <w:pPr>
        <w:ind w:left="4320" w:hanging="360"/>
      </w:pPr>
    </w:lvl>
    <w:lvl w:ilvl="6">
      <w:start w:val="9"/>
      <w:numFmt w:val="decimal"/>
      <w:lvlText w:val="%7."/>
      <w:lvlJc w:val="left"/>
      <w:pPr>
        <w:ind w:left="5040" w:hanging="360"/>
      </w:pPr>
    </w:lvl>
    <w:lvl w:ilvl="7">
      <w:start w:val="9"/>
      <w:numFmt w:val="decimal"/>
      <w:lvlText w:val="%8."/>
      <w:lvlJc w:val="left"/>
      <w:pPr>
        <w:ind w:left="5760" w:hanging="360"/>
      </w:pPr>
    </w:lvl>
    <w:lvl w:ilvl="8">
      <w:start w:val="9"/>
      <w:numFmt w:val="decimal"/>
      <w:lvlText w:val="%9."/>
      <w:lvlJc w:val="left"/>
      <w:pPr>
        <w:ind w:left="6480" w:hanging="360"/>
      </w:pPr>
    </w:lvl>
  </w:abstractNum>
  <w:abstractNum w:abstractNumId="994114">
    <w:nsid w:val="0A994114"/>
    <w:multiLevelType w:val="multilevel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4"/>
      <w:numFmt w:val="decimal"/>
      <w:lvlText w:val="%2."/>
      <w:lvlJc w:val="left"/>
      <w:pPr>
        <w:ind w:left="1440" w:hanging="360"/>
      </w:pPr>
    </w:lvl>
    <w:lvl w:ilvl="2">
      <w:start w:val="14"/>
      <w:numFmt w:val="decimal"/>
      <w:lvlText w:val="%3."/>
      <w:lvlJc w:val="left"/>
      <w:pPr>
        <w:ind w:left="2160" w:hanging="360"/>
      </w:pPr>
    </w:lvl>
    <w:lvl w:ilvl="3">
      <w:start w:val="14"/>
      <w:numFmt w:val="decimal"/>
      <w:lvlText w:val="%4."/>
      <w:lvlJc w:val="left"/>
      <w:pPr>
        <w:ind w:left="2880" w:hanging="360"/>
      </w:pPr>
    </w:lvl>
    <w:lvl w:ilvl="4">
      <w:start w:val="14"/>
      <w:numFmt w:val="decimal"/>
      <w:lvlText w:val="%5."/>
      <w:lvlJc w:val="left"/>
      <w:pPr>
        <w:ind w:left="3600" w:hanging="360"/>
      </w:pPr>
    </w:lvl>
    <w:lvl w:ilvl="5">
      <w:start w:val="14"/>
      <w:numFmt w:val="decimal"/>
      <w:lvlText w:val="%6."/>
      <w:lvlJc w:val="left"/>
      <w:pPr>
        <w:ind w:left="4320" w:hanging="360"/>
      </w:pPr>
    </w:lvl>
    <w:lvl w:ilvl="6">
      <w:start w:val="14"/>
      <w:numFmt w:val="decimal"/>
      <w:lvlText w:val="%7."/>
      <w:lvlJc w:val="left"/>
      <w:pPr>
        <w:ind w:left="5040" w:hanging="360"/>
      </w:pPr>
    </w:lvl>
    <w:lvl w:ilvl="7">
      <w:start w:val="14"/>
      <w:numFmt w:val="decimal"/>
      <w:lvlText w:val="%8."/>
      <w:lvlJc w:val="left"/>
      <w:pPr>
        <w:ind w:left="5760" w:hanging="360"/>
      </w:pPr>
    </w:lvl>
    <w:lvl w:ilvl="8">
      <w:start w:val="14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3">
    <w:abstractNumId w:val="99416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004">
    <w:abstractNumId w:val="99419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005">
    <w:abstractNumId w:val="994114"/>
    <w:lvlOverride w:ilvl="0">
      <w:startOverride w:val="14"/>
    </w:lvlOverride>
    <w:lvlOverride w:ilvl="1">
      <w:startOverride w:val="14"/>
    </w:lvlOverride>
    <w:lvlOverride w:ilvl="2">
      <w:startOverride w:val="14"/>
    </w:lvlOverride>
    <w:lvlOverride w:ilvl="3">
      <w:startOverride w:val="14"/>
    </w:lvlOverride>
    <w:lvlOverride w:ilvl="4">
      <w:startOverride w:val="14"/>
    </w:lvlOverride>
    <w:lvlOverride w:ilvl="5">
      <w:startOverride w:val="14"/>
    </w:lvlOverride>
    <w:lvlOverride w:ilvl="6">
      <w:startOverride w:val="14"/>
    </w:lvlOverride>
    <w:lvlOverride w:ilvl="7">
      <w:startOverride w:val="14"/>
    </w:lvlOverride>
    <w:lvlOverride w:ilvl="8">
      <w:startOverride w:val="14"/>
    </w:lvlOverride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